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w:t>
      </w:r>
    </w:p>
    <w:p>
      <w:r>
        <w:t>Bundesgericht (BGE), 1996-05-09, DE</w:t>
      </w:r>
    </w:p>
    <w:p>
      <w:r>
        <w:rPr>
          <w:b/>
        </w:rPr>
        <w:t xml:space="preserve">Quelle: </w:t>
      </w:r>
      <w:r>
        <w:t>https://mcp.opencaselaw.ch/entscheid/bge_123 II 1</w:t>
      </w:r>
    </w:p>
    <w:p>
      <w:r>
        <w:t>FR: ATF 123 II 1</w:t>
      </w:r>
    </w:p>
    <w:p>
      <w:r>
        <w:t>IT: DTF 123 II 1</w:t>
      </w:r>
    </w:p>
    <w:p>
      <w:pPr>
        <w:pStyle w:val="Heading2"/>
      </w:pPr>
      <w:r>
        <w:t>Regeste</w:t>
      </w:r>
    </w:p>
    <w:p>
      <w:r>
        <w:t>Regeste Entschädigung und Genugtuung. Art. 11 ff. OHG. Die Pflicht, das Verfahren nach Art. 11 ff. OHG einfach und rasch durchzuführen, schliesst eine Sistierung nicht grundsätzlich aus; Voraussetzungen einer Sistierung im allgemeinen (E. 2). Es widerspricht Sinn und Zweck des OHG, das Entschädigungsverfahren nach Art. 11 ff. zu sistieren, um vom Opfer zu verlangen, zunächst selber einen zivilen Schadenersatzprozess zu führen (E. 3).</w:t>
      </w:r>
    </w:p>
    <w:p>
      <w:pPr>
        <w:pStyle w:val="Heading2"/>
      </w:pPr>
      <w:r>
        <w:t>Erwägungen</w:t>
      </w:r>
    </w:p>
    <w:p>
      <w:r>
        <w:rPr>
          <w:b/>
        </w:rPr>
        <w:t>E. 2</w:t>
      </w:r>
    </w:p>
    <w:p>
      <w:r>
        <w:t>a) Strittig ist vorliegend einzig, ob das Sozialversicherungsgericht das Verfahren um eine Entschädigung nach Art. 11 ff. OHG sistieren durfte, bis ein rechtskräftiges Zivilurteil über den Schadenersatzanspruch der Beschwerdeführerin gegen den Täter besteht. Nicht mehr zur Diskussion steht dagegen ihr ursprünglich gestelltes Vorschussbegehren nach Art. 15 OHG : dessen Ablehnung durch die Justizdirektion focht sie beim Sozialversicherungsgericht bereits nicht mehr an (grundsätzlich zum Anspruch des Opfers auf Vorschuss: BGE 121 II 116 ). Ebenfalls nicht angefochten ist die Sistierung ihres Gesuchs um Zusprechung einer Genugtuung. b) Die Kantone haben für Ansprüche nach Art. 11 ff. OHG ein "einfaches, rasches und kostenloses Verfahren" vorzusehen ( Art. 16 Abs. 1 OHG ). Dabei handelt es sich um ein eigenständiges Verwaltungsverfahren; es ist daher grundsätzlich unabhängig von anderen Zivil-, Straf- und Verwaltungsverfahren durchzuführen. Die Pflicht, das Verfahren einfach und rasch durchzuführen, schliesst eine Sistierung nicht grundsätzlich aus. Eine solche kann sich etwa rechtfertigen, wenn ein anderes Verfahren hängig ist, dessen Ausgang von präjudizieller Bedeutung ist, und das Verfahren nach Art. 11 ff. OHG nicht rascher und einfacher zum Ziele führen würde. So hat das Bundesgericht die Sistierung des Opferhilfeverfahrens bis zum Abschluss des Strafverfahrens in einem Fall zugelassen, in welchem zunächst durch Gutachten abgeklärt werden musste, ob überhaupt eine Straftat (schwere fahrlässige Körperverletzung durch ärztlichen Kunstfehler) vorlag, was die Opferhilfestelle nicht schneller hätte tun können, als dies im Strafverfahren erfolgte ( BGE 122 II 211 E. 3e).</w:t>
      </w:r>
    </w:p>
    <w:p>
      <w:r>
        <w:rPr>
          <w:b/>
        </w:rPr>
        <w:t>E. 3</w:t>
      </w:r>
    </w:p>
    <w:p>
      <w:r>
        <w:t>a) Der Referent des Sozialversicherungsgerichtes hat im angefochtenen Entscheid das Verfahren sistiert, bis die Beschwerdeführerin in einem (offenbar noch einzuleitenden) Schadenersatzprozess gegen den Täter ein rechtskräftiges Urteil erstritten haben BGE 123 II 1 S. 4 wird. Zur Begründung hat er angeführt, die Bezifferung des Schadens sei im heutigen Zeitpunkt nicht möglich, und die Bemessung der Entschädigung nach OHG hänge unter anderem von der Frage ab, ob der Unfallversicherer zahlungspflichtig sei und wie die Invalidenversicherung entscheide. b) Das OHG will u.a. gerade verhindern, dass das Opfer zur Durchsetzung seiner Ansprüche einen an Kosten- und Beweislastrisiken reichen Zivilprozess gegen den Täter anstrengen muss (BBl 1990 II 987 f.). Zu diesem Zweck räumt es ihm den Entschädigungsanspruch gemäss Art. 11 ff. OHG gegenüber dem Staat ein, der in einem raschen, einfachen und kostenlosen Verfahren durchgesetzt werden kann. Darauf hat das Opfer ein primäres Recht. Dieser Anspruch ist nur insofern subsidiär (wie das Marginale zu Art. 14 OHG lautet), als sich das Opfer andere Leistungen, die es als Schadenersatz erhalten hat, anrechnen lassen muss, und Ansprüche, die ihm aufgrund der Straftat zustehen, im Umfang ihrer Leistung auf den Staat übergehen ( Art. 14 Abs. 1 und 2 OHG ; vgl. auch GOMM/STEIN/ZEHNTNER, Kommentar zum OHG, N. 5 ff., insbes. N. 7 zu Art. 14). Daher widerspricht es Sinn und Zweck des OHG und verletzt Bundesrecht, das Entschädigungsverfahren nach Art. 11 ff. OHG zu sistieren und vom Opfer zu verlangen, zunächst selber einen Schadenersatzprozess zu führen. Die Ansprüche, die dem Opfer gegenüber der Unfall- oder der Invalidenversicherung zustehen, sind, wie erwähnt, von der Entschädigung nach OHG in Abzug zu bringen oder gehen auf den Staat über (vgl. auch dazu GOMM/STEIN/ZEHNTNER, a.a.O., N. 12 ff. und 54 zu Art. 14), weshalb die Begründung im angefochtenen Entscheid, wonach die Bemessung der Entschädigung von den Leistungen der Versicherungen abhänge, unzutreffend ist. Auch soweit die Sistierung damit begründet wird, verletzt sie daher Bundesrecht.</w:t>
      </w:r>
    </w:p>
    <w:p>
      <w:r>
        <w:rPr>
          <w:b/>
        </w:rPr>
        <w:t>E. 4</w:t>
      </w:r>
    </w:p>
    <w:p>
      <w:r>
        <w:t>Die Verwaltungsgerichtsbeschwerde ist somit gutzuheissen und die angefochtene Sistierung des Verfahrens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